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CEE0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附件二：</w:t>
      </w:r>
    </w:p>
    <w:p w14:paraId="7348C7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75" w:beforeAutospacing="0" w:after="75" w:afterAutospacing="0" w:line="27" w:lineRule="atLeast"/>
        <w:ind w:left="0" w:right="0"/>
        <w:jc w:val="center"/>
        <w:rPr>
          <w:rFonts w:hint="eastAsia" w:ascii="长城小标宋体" w:hAnsi="长城小标宋体" w:eastAsia="长城小标宋体" w:cs="长城小标宋体"/>
        </w:rPr>
      </w:pPr>
      <w:r>
        <w:rPr>
          <w:rFonts w:hint="eastAsia" w:ascii="长城小标宋体" w:hAnsi="长城小标宋体" w:eastAsia="长城小标宋体" w:cs="长城小标宋体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报价函</w:t>
      </w:r>
    </w:p>
    <w:p w14:paraId="6B345E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75" w:beforeAutospacing="0" w:after="75" w:afterAutospacing="0" w:line="27" w:lineRule="atLeast"/>
        <w:ind w:left="0" w:right="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0EE729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75" w:beforeAutospacing="0" w:after="75" w:afterAutospacing="0" w:line="27" w:lineRule="atLeast"/>
        <w:ind w:left="0" w:right="0"/>
        <w:jc w:val="both"/>
        <w:rPr>
          <w:rFonts w:hint="eastAsia" w:eastAsia="仿宋_GB2312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致：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四川天濠药业有限公司</w:t>
      </w:r>
    </w:p>
    <w:p w14:paraId="2D7836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75" w:beforeAutospacing="0" w:after="75" w:afterAutospacing="0" w:line="27" w:lineRule="atLeast"/>
        <w:ind w:left="0" w:right="0" w:firstLine="640"/>
        <w:jc w:val="both"/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根据贵方(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闲置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固定资产公开处置项目)的招标,我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公司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愿意参加投标,报废固定资产报价为(大写)            元人民币，并承诺以下内容：</w:t>
      </w:r>
    </w:p>
    <w:p w14:paraId="09FD09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75" w:beforeAutospacing="0" w:after="75" w:afterAutospacing="0" w:line="27" w:lineRule="atLeast"/>
        <w:ind w:left="0" w:right="0" w:firstLine="640"/>
        <w:jc w:val="both"/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1.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中标服务商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接到中标通知后须按照非税收入收缴相关规定上缴全部货款,如超时不交,则视为放弃中标。</w:t>
      </w:r>
    </w:p>
    <w:p w14:paraId="159755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75" w:beforeAutospacing="0" w:after="75" w:afterAutospacing="0" w:line="27" w:lineRule="atLeast"/>
        <w:ind w:left="0" w:right="0" w:firstLine="640"/>
        <w:jc w:val="both"/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2.货款交清后在贵方规定工作日内搬完并清场。</w:t>
      </w:r>
    </w:p>
    <w:p w14:paraId="1A891F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75" w:beforeAutospacing="0" w:after="75" w:afterAutospacing="0" w:line="27" w:lineRule="atLeast"/>
        <w:ind w:left="0" w:right="0" w:firstLine="640"/>
        <w:jc w:val="both"/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3.拆搬物资时听从贵方工作人员指挥,不损坏其他设施,运输和拆、装、卸等费用均由自己承担,装卸及运输过程中发生的一切安全事故由自己负责,与贵方无关。如因拆搬物资给贵方造成损失的,损失另外据实赔偿。</w:t>
      </w:r>
    </w:p>
    <w:p w14:paraId="4D0043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5" w:beforeAutospacing="0" w:after="75" w:afterAutospacing="0" w:line="27" w:lineRule="atLeast"/>
        <w:ind w:left="0" w:right="0" w:firstLine="640"/>
        <w:jc w:val="left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4.回收的资产按要求进行处置和回收利用。</w:t>
      </w:r>
    </w:p>
    <w:p w14:paraId="4134A1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75" w:beforeAutospacing="0" w:after="75" w:afterAutospacing="0" w:line="27" w:lineRule="atLeast"/>
        <w:ind w:left="0" w:right="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0F4D9A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75" w:beforeAutospacing="0" w:after="75" w:afterAutospacing="0" w:line="27" w:lineRule="atLeast"/>
        <w:ind w:left="0" w:right="0"/>
        <w:jc w:val="both"/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投标人（签字或盖章）：</w:t>
      </w:r>
    </w:p>
    <w:p w14:paraId="0FE52A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75" w:beforeAutospacing="0" w:after="75" w:afterAutospacing="0" w:line="27" w:lineRule="atLeast"/>
        <w:ind w:right="0" w:firstLine="4480" w:firstLineChars="1400"/>
        <w:jc w:val="both"/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联系方式：</w:t>
      </w:r>
    </w:p>
    <w:p w14:paraId="487D2B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75" w:beforeAutospacing="0" w:after="75" w:afterAutospacing="0" w:line="27" w:lineRule="atLeast"/>
        <w:ind w:left="0" w:right="0" w:firstLine="3520"/>
        <w:jc w:val="center"/>
        <w:rPr>
          <w:rFonts w:hint="default" w:ascii="黑体" w:hAnsi="宋体" w:eastAsia="黑体" w:cs="黑体"/>
          <w:b w:val="0"/>
          <w:i w:val="0"/>
          <w:caps w:val="0"/>
          <w:color w:val="404040"/>
          <w:spacing w:val="0"/>
          <w:sz w:val="37"/>
          <w:szCs w:val="37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曰期：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日</w:t>
      </w:r>
    </w:p>
    <w:p w14:paraId="6144260A">
      <w:bookmarkStart w:id="0" w:name="_GoBack"/>
      <w:bookmarkEnd w:id="0"/>
    </w:p>
    <w:sectPr>
      <w:pgSz w:w="11906" w:h="16838"/>
      <w:pgMar w:top="1474" w:right="124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50C2A"/>
    <w:rsid w:val="5CF5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2025-09-23T08:59:00Z</dcterms:created>
  <dc:creator>*福伟</dc:creator>
  <cp:lastModifiedBy>*福伟</cp:lastModifiedBy>
  <dcterms:modified xsi:type="dcterms:W3CDTF">2025-09-23T08:59:44Z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1D5515265C8D49A5B7C5169A300562F1_11</vt:lpwstr>
  </property>
  <property fmtid="{D5CDD505-2E9C-101B-9397-08002B2CF9AE}" pid="4" name="KSOTemplateDocerSaveRecord">
    <vt:lpwstr>eyJoZGlkIjoiYTllZmVjYWM5ZjgxMzdmNDRhMmI3YjA5NmU4OTM5ZmYiLCJ1c2VySWQiOiI0ODQwOTA2NzcifQ==</vt:lpwstr>
  </property>
</Properties>
</file>